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6211" w14:textId="77777777" w:rsidR="00A42BF8" w:rsidRPr="006A3505" w:rsidRDefault="00A42BF8" w:rsidP="00A42BF8">
      <w:pPr>
        <w:pStyle w:val="Heading2"/>
      </w:pPr>
      <w:bookmarkStart w:id="0" w:name="_Toc169095843"/>
      <w:bookmarkStart w:id="1" w:name="_Toc184633609"/>
      <w:r w:rsidRPr="006A3505">
        <w:t>ATI Examinations</w:t>
      </w:r>
      <w:bookmarkEnd w:id="0"/>
      <w:bookmarkEnd w:id="1"/>
    </w:p>
    <w:p w14:paraId="7487EC75" w14:textId="77777777" w:rsidR="00A42BF8" w:rsidRDefault="00A42BF8" w:rsidP="00A42BF8">
      <w:pPr>
        <w:tabs>
          <w:tab w:val="left" w:pos="0"/>
        </w:tabs>
        <w:ind w:left="720"/>
        <w:rPr>
          <w:b/>
          <w:color w:val="000000" w:themeColor="text1"/>
          <w:sz w:val="24"/>
        </w:rPr>
      </w:pPr>
    </w:p>
    <w:p w14:paraId="1D872CE2" w14:textId="77777777" w:rsidR="00A42BF8" w:rsidRPr="00610A15" w:rsidRDefault="00A42BF8" w:rsidP="00A42BF8">
      <w:pPr>
        <w:tabs>
          <w:tab w:val="left" w:pos="0"/>
        </w:tabs>
        <w:ind w:left="720"/>
        <w:rPr>
          <w:color w:val="000000" w:themeColor="text1"/>
          <w:sz w:val="24"/>
        </w:rPr>
      </w:pPr>
      <w:r w:rsidRPr="00610A15">
        <w:rPr>
          <w:b/>
          <w:color w:val="000000" w:themeColor="text1"/>
          <w:sz w:val="24"/>
        </w:rPr>
        <w:t>Critical Thinking Assessments</w:t>
      </w:r>
      <w:r>
        <w:rPr>
          <w:b/>
          <w:color w:val="000000" w:themeColor="text1"/>
          <w:sz w:val="24"/>
        </w:rPr>
        <w:t xml:space="preserve"> </w:t>
      </w:r>
      <w:r w:rsidRPr="00AF6A61">
        <w:rPr>
          <w:bCs/>
          <w:color w:val="000000" w:themeColor="text1"/>
          <w:sz w:val="24"/>
        </w:rPr>
        <w:t>are proctored</w:t>
      </w:r>
      <w:r w:rsidRPr="00610A15">
        <w:rPr>
          <w:color w:val="000000" w:themeColor="text1"/>
          <w:sz w:val="24"/>
        </w:rPr>
        <w:t xml:space="preserve"> assessments to determine students’ overall performance on specified critical thinking skills.</w:t>
      </w:r>
    </w:p>
    <w:p w14:paraId="65D18EA0" w14:textId="77777777" w:rsidR="00A42BF8" w:rsidRPr="00087444" w:rsidRDefault="00A42BF8" w:rsidP="00A42BF8">
      <w:pPr>
        <w:pStyle w:val="BodyText"/>
        <w:tabs>
          <w:tab w:val="left" w:pos="0"/>
        </w:tabs>
        <w:jc w:val="left"/>
        <w:rPr>
          <w:iCs/>
          <w:color w:val="000000" w:themeColor="text1"/>
        </w:rPr>
      </w:pPr>
    </w:p>
    <w:p w14:paraId="335976A1" w14:textId="77777777" w:rsidR="00A42BF8" w:rsidRPr="00610A15" w:rsidRDefault="00A42BF8" w:rsidP="00A42BF8">
      <w:pPr>
        <w:pStyle w:val="BodyText"/>
        <w:tabs>
          <w:tab w:val="left" w:pos="0"/>
        </w:tabs>
        <w:ind w:left="720"/>
        <w:jc w:val="left"/>
        <w:rPr>
          <w:bCs/>
          <w:iCs/>
          <w:color w:val="000000" w:themeColor="text1"/>
        </w:rPr>
      </w:pPr>
      <w:r w:rsidRPr="00610A15">
        <w:rPr>
          <w:b/>
          <w:bCs/>
          <w:iCs/>
          <w:color w:val="000000" w:themeColor="text1"/>
        </w:rPr>
        <w:t>ATI Content Mastery Series</w:t>
      </w:r>
      <w:r w:rsidRPr="00610A15">
        <w:rPr>
          <w:bCs/>
          <w:iCs/>
          <w:color w:val="000000" w:themeColor="text1"/>
        </w:rPr>
        <w:t xml:space="preserve"> are web-based curriculum examinations that provide students with direct feedback on their deficiencies. </w:t>
      </w:r>
      <w:r>
        <w:rPr>
          <w:bCs/>
          <w:iCs/>
          <w:color w:val="000000" w:themeColor="text1"/>
        </w:rPr>
        <w:t xml:space="preserve"> </w:t>
      </w:r>
      <w:r w:rsidRPr="00610A15">
        <w:rPr>
          <w:bCs/>
          <w:iCs/>
          <w:color w:val="000000" w:themeColor="text1"/>
        </w:rPr>
        <w:t xml:space="preserve">These examinations will be administered throughout the program.  The exams have 2 versions, Non-Proctored </w:t>
      </w:r>
      <w:r w:rsidRPr="00610A15">
        <w:rPr>
          <w:b/>
          <w:bCs/>
          <w:iCs/>
          <w:color w:val="000000" w:themeColor="text1"/>
        </w:rPr>
        <w:t xml:space="preserve">(NP) </w:t>
      </w:r>
      <w:r w:rsidRPr="00610A15">
        <w:rPr>
          <w:bCs/>
          <w:iCs/>
          <w:color w:val="000000" w:themeColor="text1"/>
        </w:rPr>
        <w:t xml:space="preserve">practice exam and Proctored </w:t>
      </w:r>
      <w:r w:rsidRPr="00610A15">
        <w:rPr>
          <w:b/>
          <w:bCs/>
          <w:iCs/>
          <w:color w:val="000000" w:themeColor="text1"/>
        </w:rPr>
        <w:t>(P)</w:t>
      </w:r>
      <w:r w:rsidRPr="00610A15">
        <w:rPr>
          <w:bCs/>
          <w:iCs/>
          <w:color w:val="000000" w:themeColor="text1"/>
        </w:rPr>
        <w:t xml:space="preserve"> exam, both of which assist students in knowledge acquisition and computerized testing.  Students must go to the atitesting.com website to take the (NP) examinations.</w:t>
      </w:r>
    </w:p>
    <w:p w14:paraId="0A28C48D" w14:textId="77777777" w:rsidR="00A42BF8" w:rsidRPr="00610A15" w:rsidRDefault="00A42BF8" w:rsidP="00A42BF8">
      <w:pPr>
        <w:pStyle w:val="BodyText"/>
        <w:tabs>
          <w:tab w:val="left" w:pos="0"/>
        </w:tabs>
        <w:jc w:val="left"/>
        <w:rPr>
          <w:bCs/>
          <w:iCs/>
          <w:color w:val="000000" w:themeColor="text1"/>
        </w:rPr>
      </w:pPr>
    </w:p>
    <w:p w14:paraId="59090254" w14:textId="77777777" w:rsidR="00A42BF8" w:rsidRPr="00610A15" w:rsidRDefault="00A42BF8" w:rsidP="00A42BF8">
      <w:pPr>
        <w:tabs>
          <w:tab w:val="left" w:pos="0"/>
        </w:tabs>
        <w:ind w:left="720"/>
        <w:rPr>
          <w:rFonts w:eastAsia="MS Mincho"/>
          <w:color w:val="000000" w:themeColor="text1"/>
          <w:sz w:val="24"/>
        </w:rPr>
      </w:pPr>
      <w:r w:rsidRPr="00610A15">
        <w:rPr>
          <w:rFonts w:eastAsia="MS Mincho"/>
          <w:color w:val="000000" w:themeColor="text1"/>
          <w:sz w:val="24"/>
        </w:rPr>
        <w:t xml:space="preserve">Nine proctored and over 50 practice exams are included. </w:t>
      </w:r>
      <w:r>
        <w:rPr>
          <w:rFonts w:eastAsia="MS Mincho"/>
          <w:color w:val="000000" w:themeColor="text1"/>
          <w:sz w:val="24"/>
        </w:rPr>
        <w:t xml:space="preserve"> </w:t>
      </w:r>
      <w:r w:rsidRPr="00610A15">
        <w:rPr>
          <w:rFonts w:eastAsia="MS Mincho"/>
          <w:color w:val="000000" w:themeColor="text1"/>
          <w:sz w:val="24"/>
        </w:rPr>
        <w:t>Content areas of these assessments are:</w:t>
      </w:r>
    </w:p>
    <w:p w14:paraId="49AB37B1"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Fundamentals of Nursing</w:t>
      </w:r>
    </w:p>
    <w:p w14:paraId="48845FB6"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Adult Medical-Surgical</w:t>
      </w:r>
    </w:p>
    <w:p w14:paraId="19589DDD"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Nursing Care of Children</w:t>
      </w:r>
    </w:p>
    <w:p w14:paraId="77ACEB78"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Maternal-Newborn</w:t>
      </w:r>
    </w:p>
    <w:p w14:paraId="3FD23FAC"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Mental Health</w:t>
      </w:r>
    </w:p>
    <w:p w14:paraId="7FE184AB"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Community Health</w:t>
      </w:r>
    </w:p>
    <w:p w14:paraId="09AB9680"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Pharmacology</w:t>
      </w:r>
    </w:p>
    <w:p w14:paraId="16B96214"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Leadership</w:t>
      </w:r>
    </w:p>
    <w:p w14:paraId="60F447DF" w14:textId="77777777" w:rsidR="00A42BF8" w:rsidRPr="006E7366" w:rsidRDefault="00A42BF8" w:rsidP="00A42BF8">
      <w:pPr>
        <w:pStyle w:val="ListParagraph"/>
        <w:widowControl/>
        <w:numPr>
          <w:ilvl w:val="0"/>
          <w:numId w:val="1"/>
        </w:numPr>
        <w:tabs>
          <w:tab w:val="left" w:pos="0"/>
        </w:tabs>
        <w:autoSpaceDE/>
        <w:autoSpaceDN/>
        <w:adjustRightInd/>
        <w:rPr>
          <w:color w:val="000000" w:themeColor="text1"/>
          <w:sz w:val="24"/>
        </w:rPr>
      </w:pPr>
      <w:r w:rsidRPr="006E7366">
        <w:rPr>
          <w:color w:val="000000" w:themeColor="text1"/>
          <w:sz w:val="24"/>
        </w:rPr>
        <w:t>Nutrition for Nursing</w:t>
      </w:r>
    </w:p>
    <w:p w14:paraId="16760F1B" w14:textId="77777777" w:rsidR="00A42BF8" w:rsidRDefault="00A42BF8" w:rsidP="00A42BF8">
      <w:pPr>
        <w:pStyle w:val="BodyText"/>
        <w:tabs>
          <w:tab w:val="left" w:pos="0"/>
        </w:tabs>
        <w:jc w:val="left"/>
        <w:rPr>
          <w:bCs/>
          <w:iCs/>
          <w:color w:val="000000" w:themeColor="text1"/>
        </w:rPr>
      </w:pPr>
    </w:p>
    <w:p w14:paraId="4A2E3129" w14:textId="77777777" w:rsidR="00A42BF8" w:rsidRPr="00610A15" w:rsidRDefault="00A42BF8" w:rsidP="00A42BF8">
      <w:pPr>
        <w:pStyle w:val="BodyText"/>
        <w:tabs>
          <w:tab w:val="left" w:pos="0"/>
        </w:tabs>
        <w:ind w:left="720"/>
        <w:jc w:val="left"/>
        <w:rPr>
          <w:bCs/>
          <w:iCs/>
          <w:color w:val="000000" w:themeColor="text1"/>
        </w:rPr>
      </w:pPr>
      <w:r w:rsidRPr="00610A15">
        <w:rPr>
          <w:bCs/>
          <w:iCs/>
          <w:color w:val="000000" w:themeColor="text1"/>
        </w:rPr>
        <w:t xml:space="preserve">ATI Access Codes can be found on the ATI site and/or in PN MOODLE. </w:t>
      </w:r>
      <w:r>
        <w:rPr>
          <w:bCs/>
          <w:iCs/>
          <w:color w:val="000000" w:themeColor="text1"/>
        </w:rPr>
        <w:t xml:space="preserve"> </w:t>
      </w:r>
      <w:r w:rsidRPr="00610A15">
        <w:rPr>
          <w:bCs/>
          <w:iCs/>
          <w:color w:val="000000" w:themeColor="text1"/>
        </w:rPr>
        <w:t>Students have UNLIMITED ACCESS to NP ATI Resources for up to ONE YEAR after GRADUATION.</w:t>
      </w:r>
    </w:p>
    <w:p w14:paraId="6920CE21" w14:textId="77777777" w:rsidR="00A42BF8" w:rsidRPr="00610A15" w:rsidRDefault="00A42BF8" w:rsidP="00A42BF8">
      <w:pPr>
        <w:pStyle w:val="BodyText"/>
        <w:tabs>
          <w:tab w:val="left" w:pos="0"/>
        </w:tabs>
        <w:jc w:val="left"/>
        <w:rPr>
          <w:bCs/>
          <w:iCs/>
          <w:color w:val="000000" w:themeColor="text1"/>
        </w:rPr>
      </w:pPr>
    </w:p>
    <w:p w14:paraId="2A90B8D5" w14:textId="0C4E45A1" w:rsidR="00A42BF8" w:rsidRPr="00610A15" w:rsidRDefault="00A42BF8" w:rsidP="00A42BF8">
      <w:pPr>
        <w:pStyle w:val="BodyText"/>
        <w:tabs>
          <w:tab w:val="left" w:pos="0"/>
        </w:tabs>
        <w:ind w:left="720"/>
        <w:jc w:val="left"/>
        <w:rPr>
          <w:bCs/>
          <w:iCs/>
          <w:color w:val="000000" w:themeColor="text1"/>
        </w:rPr>
      </w:pPr>
      <w:r w:rsidRPr="00610A15">
        <w:rPr>
          <w:bCs/>
          <w:iCs/>
          <w:color w:val="000000" w:themeColor="text1"/>
        </w:rPr>
        <w:t xml:space="preserve">A </w:t>
      </w:r>
      <w:r w:rsidRPr="00610A15">
        <w:rPr>
          <w:b/>
          <w:bCs/>
          <w:iCs/>
          <w:color w:val="000000" w:themeColor="text1"/>
        </w:rPr>
        <w:t>score &gt; 90</w:t>
      </w:r>
      <w:r w:rsidRPr="00610A15">
        <w:rPr>
          <w:bCs/>
          <w:iCs/>
          <w:color w:val="000000" w:themeColor="text1"/>
        </w:rPr>
        <w:t xml:space="preserve"> on the (NP) exams given throughout the program must be completed prior to taking the (P) exam.  The (NP) exams can be taken as many times as needed to obtain the required score.  Students need to keep in mind that there is a “lock out” period between each attempt. </w:t>
      </w:r>
      <w:r>
        <w:rPr>
          <w:bCs/>
          <w:iCs/>
          <w:color w:val="000000" w:themeColor="text1"/>
        </w:rPr>
        <w:t xml:space="preserve"> </w:t>
      </w:r>
      <w:r w:rsidRPr="00610A15">
        <w:rPr>
          <w:bCs/>
          <w:iCs/>
          <w:color w:val="000000" w:themeColor="text1"/>
        </w:rPr>
        <w:t xml:space="preserve">The “lock-out” time will be determined by the Course Coordinator but is typically 12 hours.  The student must present documentation of achieving the required score on the (NP) exam </w:t>
      </w:r>
      <w:r w:rsidRPr="00A42BF8">
        <w:rPr>
          <w:bCs/>
          <w:iCs/>
          <w:color w:val="000000" w:themeColor="text1"/>
          <w:highlight w:val="yellow"/>
        </w:rPr>
        <w:t>by midnight</w:t>
      </w:r>
      <w:r>
        <w:rPr>
          <w:bCs/>
          <w:iCs/>
          <w:color w:val="000000" w:themeColor="text1"/>
          <w:highlight w:val="yellow"/>
        </w:rPr>
        <w:t xml:space="preserve"> the day</w:t>
      </w:r>
      <w:r w:rsidRPr="00A42BF8">
        <w:rPr>
          <w:bCs/>
          <w:iCs/>
          <w:color w:val="000000" w:themeColor="text1"/>
          <w:highlight w:val="yellow"/>
        </w:rPr>
        <w:t xml:space="preserve"> prior to the scheduled date to take</w:t>
      </w:r>
      <w:r>
        <w:rPr>
          <w:bCs/>
          <w:iCs/>
          <w:color w:val="000000" w:themeColor="text1"/>
        </w:rPr>
        <w:t xml:space="preserve"> the </w:t>
      </w:r>
      <w:r w:rsidRPr="00610A15">
        <w:rPr>
          <w:bCs/>
          <w:iCs/>
          <w:color w:val="000000" w:themeColor="text1"/>
        </w:rPr>
        <w:t xml:space="preserve">(P) examination.  </w:t>
      </w:r>
      <w:r w:rsidRPr="00A42BF8">
        <w:rPr>
          <w:bCs/>
          <w:iCs/>
          <w:color w:val="000000" w:themeColor="text1"/>
          <w:highlight w:val="yellow"/>
        </w:rPr>
        <w:t xml:space="preserve">Students who miss the midnight deadline at the end of Nursing Level 2 will </w:t>
      </w:r>
      <w:r>
        <w:rPr>
          <w:bCs/>
          <w:iCs/>
          <w:color w:val="000000" w:themeColor="text1"/>
          <w:highlight w:val="yellow"/>
        </w:rPr>
        <w:t>not be able to sit for the (P) exam and the day will count as an absence.</w:t>
      </w:r>
      <w:r w:rsidRPr="00A42BF8">
        <w:rPr>
          <w:bCs/>
          <w:iCs/>
          <w:color w:val="000000" w:themeColor="text1"/>
          <w:highlight w:val="yellow"/>
        </w:rPr>
        <w:t xml:space="preserve">  Students who miss the midnight deadline at the end of Nursing Level 3 will receive a grade of 60% on the (P) exam and the day of the (P) exam will count as an absence</w:t>
      </w:r>
      <w:r>
        <w:rPr>
          <w:bCs/>
          <w:iCs/>
          <w:color w:val="000000" w:themeColor="text1"/>
        </w:rPr>
        <w:t>.</w:t>
      </w:r>
    </w:p>
    <w:p w14:paraId="0D0F8BFD" w14:textId="77777777" w:rsidR="00A42BF8" w:rsidRPr="00610A15" w:rsidRDefault="00A42BF8" w:rsidP="00A42BF8">
      <w:pPr>
        <w:pStyle w:val="BodyText"/>
        <w:tabs>
          <w:tab w:val="left" w:pos="0"/>
        </w:tabs>
        <w:jc w:val="left"/>
        <w:rPr>
          <w:bCs/>
          <w:iCs/>
          <w:color w:val="000000" w:themeColor="text1"/>
        </w:rPr>
      </w:pPr>
    </w:p>
    <w:p w14:paraId="287A1CC3" w14:textId="77777777" w:rsidR="00A42BF8" w:rsidRDefault="00A42BF8" w:rsidP="00A42BF8">
      <w:pPr>
        <w:pStyle w:val="BodyText"/>
        <w:tabs>
          <w:tab w:val="left" w:pos="0"/>
        </w:tabs>
        <w:ind w:left="720"/>
        <w:jc w:val="left"/>
        <w:rPr>
          <w:bCs/>
          <w:iCs/>
          <w:color w:val="000000" w:themeColor="text1"/>
        </w:rPr>
      </w:pPr>
      <w:r w:rsidRPr="00610A15">
        <w:rPr>
          <w:bCs/>
          <w:iCs/>
          <w:color w:val="000000" w:themeColor="text1"/>
        </w:rPr>
        <w:t xml:space="preserve">If a student does not achieve a “Level 2” score on </w:t>
      </w:r>
      <w:r w:rsidRPr="00610A15">
        <w:rPr>
          <w:b/>
          <w:bCs/>
          <w:iCs/>
          <w:color w:val="000000" w:themeColor="text1"/>
        </w:rPr>
        <w:t xml:space="preserve">any </w:t>
      </w:r>
      <w:r w:rsidRPr="00610A15">
        <w:rPr>
          <w:bCs/>
          <w:iCs/>
          <w:color w:val="000000" w:themeColor="text1"/>
        </w:rPr>
        <w:t xml:space="preserve">of the (P) exams, written remediation is required. </w:t>
      </w:r>
      <w:r>
        <w:rPr>
          <w:bCs/>
          <w:iCs/>
          <w:color w:val="000000" w:themeColor="text1"/>
        </w:rPr>
        <w:t xml:space="preserve"> </w:t>
      </w:r>
      <w:r w:rsidRPr="00610A15">
        <w:rPr>
          <w:bCs/>
          <w:iCs/>
          <w:color w:val="000000" w:themeColor="text1"/>
        </w:rPr>
        <w:t>See Focused Review below.</w:t>
      </w:r>
    </w:p>
    <w:p w14:paraId="357BBA43" w14:textId="77777777" w:rsidR="00A42BF8" w:rsidRDefault="00A42BF8" w:rsidP="00A42BF8">
      <w:pPr>
        <w:pStyle w:val="BodyText"/>
        <w:tabs>
          <w:tab w:val="left" w:pos="0"/>
        </w:tabs>
        <w:ind w:left="720"/>
        <w:jc w:val="left"/>
        <w:rPr>
          <w:bCs/>
          <w:iCs/>
          <w:color w:val="000000" w:themeColor="text1"/>
        </w:rPr>
      </w:pPr>
    </w:p>
    <w:p w14:paraId="761DC416" w14:textId="77777777" w:rsidR="00A42BF8" w:rsidRDefault="00A42BF8" w:rsidP="00A42BF8">
      <w:pPr>
        <w:pStyle w:val="BodyText"/>
        <w:tabs>
          <w:tab w:val="left" w:pos="0"/>
        </w:tabs>
        <w:ind w:left="720"/>
        <w:jc w:val="left"/>
        <w:rPr>
          <w:bCs/>
          <w:iCs/>
          <w:color w:val="000000" w:themeColor="text1"/>
        </w:rPr>
      </w:pPr>
    </w:p>
    <w:p w14:paraId="4B35F41F" w14:textId="77777777" w:rsidR="00A42BF8" w:rsidRDefault="00A42BF8" w:rsidP="00A42BF8">
      <w:pPr>
        <w:pStyle w:val="BodyText"/>
        <w:tabs>
          <w:tab w:val="left" w:pos="0"/>
        </w:tabs>
        <w:ind w:left="720"/>
        <w:jc w:val="left"/>
        <w:rPr>
          <w:bCs/>
          <w:iCs/>
          <w:color w:val="000000" w:themeColor="text1"/>
        </w:rPr>
      </w:pPr>
    </w:p>
    <w:p w14:paraId="35B04072" w14:textId="77777777" w:rsidR="00A42BF8" w:rsidRPr="002D5A3C" w:rsidRDefault="00A42BF8" w:rsidP="00A42BF8">
      <w:pPr>
        <w:tabs>
          <w:tab w:val="left" w:pos="0"/>
        </w:tabs>
        <w:ind w:left="720"/>
        <w:rPr>
          <w:b/>
          <w:color w:val="000000" w:themeColor="text1"/>
          <w:sz w:val="24"/>
          <w:u w:val="single"/>
        </w:rPr>
      </w:pPr>
      <w:r w:rsidRPr="002D5A3C">
        <w:rPr>
          <w:b/>
          <w:color w:val="000000" w:themeColor="text1"/>
          <w:sz w:val="24"/>
          <w:u w:val="single"/>
        </w:rPr>
        <w:lastRenderedPageBreak/>
        <w:t>Methods of Evaluation/Grading</w:t>
      </w:r>
    </w:p>
    <w:p w14:paraId="45A514E1" w14:textId="77777777" w:rsidR="00A42BF8" w:rsidRPr="00610A15" w:rsidRDefault="00A42BF8" w:rsidP="00A42BF8">
      <w:pPr>
        <w:pStyle w:val="NoSpacing"/>
        <w:tabs>
          <w:tab w:val="left" w:pos="0"/>
        </w:tabs>
        <w:ind w:left="720"/>
        <w:rPr>
          <w:rFonts w:ascii="Times New Roman" w:hAnsi="Times New Roman" w:cs="Times New Roman"/>
          <w:b/>
          <w:color w:val="000000" w:themeColor="text1"/>
          <w:sz w:val="24"/>
          <w:szCs w:val="24"/>
        </w:rPr>
      </w:pPr>
      <w:r w:rsidRPr="00610A15">
        <w:rPr>
          <w:rFonts w:ascii="Times New Roman" w:hAnsi="Times New Roman" w:cs="Times New Roman"/>
          <w:bCs/>
          <w:color w:val="000000" w:themeColor="text1"/>
          <w:sz w:val="24"/>
          <w:szCs w:val="24"/>
        </w:rPr>
        <w:t>Must pass both Theory and Clinical for successful completion of course(s).</w:t>
      </w:r>
    </w:p>
    <w:p w14:paraId="691ECFCE" w14:textId="77777777" w:rsidR="00A42BF8" w:rsidRPr="00610A15" w:rsidRDefault="00A42BF8" w:rsidP="00A42BF8">
      <w:pPr>
        <w:tabs>
          <w:tab w:val="left" w:pos="0"/>
        </w:tabs>
        <w:rPr>
          <w:b/>
          <w:color w:val="000000" w:themeColor="text1"/>
          <w:sz w:val="24"/>
        </w:rPr>
      </w:pPr>
    </w:p>
    <w:tbl>
      <w:tblPr>
        <w:tblStyle w:val="TableGrid2"/>
        <w:tblW w:w="9450" w:type="dxa"/>
        <w:tblInd w:w="715" w:type="dxa"/>
        <w:tblLook w:val="04A0" w:firstRow="1" w:lastRow="0" w:firstColumn="1" w:lastColumn="0" w:noHBand="0" w:noVBand="1"/>
      </w:tblPr>
      <w:tblGrid>
        <w:gridCol w:w="1643"/>
        <w:gridCol w:w="5536"/>
        <w:gridCol w:w="2271"/>
      </w:tblGrid>
      <w:tr w:rsidR="00A42BF8" w:rsidRPr="00610A15" w14:paraId="388E711D" w14:textId="77777777" w:rsidTr="000425E6">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0A65" w14:textId="77777777" w:rsidR="00A42BF8" w:rsidRPr="00610A15" w:rsidRDefault="00A42BF8" w:rsidP="000425E6">
            <w:pPr>
              <w:widowControl/>
              <w:tabs>
                <w:tab w:val="left" w:pos="0"/>
              </w:tabs>
              <w:autoSpaceDE/>
              <w:autoSpaceDN/>
              <w:adjustRightInd/>
              <w:rPr>
                <w:b/>
                <w:bCs/>
                <w:color w:val="000000" w:themeColor="text1"/>
                <w:sz w:val="24"/>
              </w:rPr>
            </w:pPr>
            <w:r w:rsidRPr="00610A15">
              <w:rPr>
                <w:b/>
                <w:bCs/>
                <w:color w:val="000000" w:themeColor="text1"/>
                <w:sz w:val="24"/>
              </w:rPr>
              <w:t>Method</w:t>
            </w:r>
          </w:p>
        </w:tc>
        <w:tc>
          <w:tcPr>
            <w:tcW w:w="5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6A87F" w14:textId="77777777" w:rsidR="00A42BF8" w:rsidRPr="00610A15" w:rsidRDefault="00A42BF8" w:rsidP="000425E6">
            <w:pPr>
              <w:widowControl/>
              <w:tabs>
                <w:tab w:val="left" w:pos="0"/>
              </w:tabs>
              <w:autoSpaceDE/>
              <w:autoSpaceDN/>
              <w:adjustRightInd/>
              <w:jc w:val="center"/>
              <w:rPr>
                <w:b/>
                <w:bCs/>
                <w:color w:val="000000" w:themeColor="text1"/>
                <w:sz w:val="24"/>
              </w:rPr>
            </w:pPr>
            <w:r w:rsidRPr="00610A15">
              <w:rPr>
                <w:b/>
                <w:bCs/>
                <w:color w:val="000000" w:themeColor="text1"/>
                <w:sz w:val="24"/>
              </w:rPr>
              <w:t>Description</w:t>
            </w:r>
          </w:p>
        </w:tc>
        <w:tc>
          <w:tcPr>
            <w:tcW w:w="2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AE7E0" w14:textId="77777777" w:rsidR="00A42BF8" w:rsidRPr="00610A15" w:rsidRDefault="00A42BF8" w:rsidP="000425E6">
            <w:pPr>
              <w:widowControl/>
              <w:tabs>
                <w:tab w:val="left" w:pos="0"/>
              </w:tabs>
              <w:autoSpaceDE/>
              <w:autoSpaceDN/>
              <w:adjustRightInd/>
              <w:jc w:val="center"/>
              <w:rPr>
                <w:b/>
                <w:bCs/>
                <w:color w:val="000000" w:themeColor="text1"/>
                <w:sz w:val="24"/>
              </w:rPr>
            </w:pPr>
            <w:r w:rsidRPr="00610A15">
              <w:rPr>
                <w:b/>
                <w:bCs/>
                <w:color w:val="000000" w:themeColor="text1"/>
                <w:sz w:val="24"/>
              </w:rPr>
              <w:t>Grade</w:t>
            </w:r>
          </w:p>
        </w:tc>
      </w:tr>
      <w:tr w:rsidR="00A42BF8" w:rsidRPr="00610A15" w14:paraId="657DAC12" w14:textId="77777777" w:rsidTr="000425E6">
        <w:tc>
          <w:tcPr>
            <w:tcW w:w="1643" w:type="dxa"/>
            <w:vMerge w:val="restart"/>
            <w:tcBorders>
              <w:top w:val="single" w:sz="4" w:space="0" w:color="auto"/>
              <w:left w:val="single" w:sz="4" w:space="0" w:color="auto"/>
              <w:bottom w:val="single" w:sz="4" w:space="0" w:color="auto"/>
              <w:right w:val="single" w:sz="4" w:space="0" w:color="auto"/>
            </w:tcBorders>
            <w:hideMark/>
          </w:tcPr>
          <w:p w14:paraId="4B963F60" w14:textId="77777777" w:rsidR="00A42BF8" w:rsidRPr="00F94FED" w:rsidRDefault="00A42BF8" w:rsidP="000425E6">
            <w:pPr>
              <w:widowControl/>
              <w:tabs>
                <w:tab w:val="left" w:pos="0"/>
              </w:tabs>
              <w:autoSpaceDE/>
              <w:autoSpaceDN/>
              <w:adjustRightInd/>
              <w:rPr>
                <w:b/>
                <w:bCs/>
                <w:color w:val="000000" w:themeColor="text1"/>
                <w:sz w:val="24"/>
              </w:rPr>
            </w:pPr>
            <w:r w:rsidRPr="00F94FED">
              <w:rPr>
                <w:b/>
                <w:bCs/>
                <w:color w:val="000000" w:themeColor="text1"/>
                <w:sz w:val="24"/>
              </w:rPr>
              <w:t>Exams</w:t>
            </w:r>
          </w:p>
        </w:tc>
        <w:tc>
          <w:tcPr>
            <w:tcW w:w="5536" w:type="dxa"/>
            <w:tcBorders>
              <w:top w:val="single" w:sz="4" w:space="0" w:color="auto"/>
              <w:left w:val="single" w:sz="4" w:space="0" w:color="auto"/>
              <w:bottom w:val="single" w:sz="4" w:space="0" w:color="auto"/>
              <w:right w:val="single" w:sz="4" w:space="0" w:color="auto"/>
            </w:tcBorders>
            <w:hideMark/>
          </w:tcPr>
          <w:p w14:paraId="5E0A178C"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Maternity/Newborn</w:t>
            </w:r>
          </w:p>
          <w:p w14:paraId="44362F40"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(ATI book chapters 1-17)</w:t>
            </w:r>
          </w:p>
        </w:tc>
        <w:tc>
          <w:tcPr>
            <w:tcW w:w="2271" w:type="dxa"/>
            <w:tcBorders>
              <w:top w:val="single" w:sz="4" w:space="0" w:color="auto"/>
              <w:left w:val="single" w:sz="4" w:space="0" w:color="auto"/>
              <w:bottom w:val="single" w:sz="4" w:space="0" w:color="auto"/>
              <w:right w:val="single" w:sz="4" w:space="0" w:color="auto"/>
            </w:tcBorders>
            <w:hideMark/>
          </w:tcPr>
          <w:p w14:paraId="6DBF7879"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 xml:space="preserve">20% </w:t>
            </w:r>
          </w:p>
        </w:tc>
      </w:tr>
      <w:tr w:rsidR="00A42BF8" w:rsidRPr="00610A15" w14:paraId="73DD1DEB" w14:textId="77777777" w:rsidTr="000425E6">
        <w:tc>
          <w:tcPr>
            <w:tcW w:w="1643" w:type="dxa"/>
            <w:vMerge/>
            <w:tcBorders>
              <w:top w:val="single" w:sz="4" w:space="0" w:color="auto"/>
              <w:left w:val="single" w:sz="4" w:space="0" w:color="auto"/>
              <w:bottom w:val="single" w:sz="4" w:space="0" w:color="auto"/>
              <w:right w:val="single" w:sz="4" w:space="0" w:color="auto"/>
            </w:tcBorders>
            <w:hideMark/>
          </w:tcPr>
          <w:p w14:paraId="213F20F5" w14:textId="77777777" w:rsidR="00A42BF8" w:rsidRPr="00610A15" w:rsidRDefault="00A42BF8" w:rsidP="000425E6">
            <w:pPr>
              <w:widowControl/>
              <w:tabs>
                <w:tab w:val="left" w:pos="0"/>
              </w:tabs>
              <w:autoSpaceDE/>
              <w:autoSpaceDN/>
              <w:adjustRightInd/>
              <w:rPr>
                <w:color w:val="000000" w:themeColor="text1"/>
                <w:sz w:val="24"/>
              </w:rPr>
            </w:pPr>
          </w:p>
        </w:tc>
        <w:tc>
          <w:tcPr>
            <w:tcW w:w="5536" w:type="dxa"/>
            <w:tcBorders>
              <w:top w:val="single" w:sz="4" w:space="0" w:color="auto"/>
              <w:left w:val="single" w:sz="4" w:space="0" w:color="auto"/>
              <w:bottom w:val="single" w:sz="4" w:space="0" w:color="auto"/>
              <w:right w:val="single" w:sz="4" w:space="0" w:color="auto"/>
            </w:tcBorders>
            <w:hideMark/>
          </w:tcPr>
          <w:p w14:paraId="0DE0187F"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Pediatric Exam #1</w:t>
            </w:r>
          </w:p>
          <w:p w14:paraId="69186A2B"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ATI book chapters 1-8, 34-35, and 39-41)</w:t>
            </w:r>
          </w:p>
        </w:tc>
        <w:tc>
          <w:tcPr>
            <w:tcW w:w="2271" w:type="dxa"/>
            <w:tcBorders>
              <w:top w:val="single" w:sz="4" w:space="0" w:color="auto"/>
              <w:left w:val="single" w:sz="4" w:space="0" w:color="auto"/>
              <w:bottom w:val="single" w:sz="4" w:space="0" w:color="auto"/>
              <w:right w:val="single" w:sz="4" w:space="0" w:color="auto"/>
            </w:tcBorders>
          </w:tcPr>
          <w:p w14:paraId="68ADF000"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20%</w:t>
            </w:r>
          </w:p>
        </w:tc>
      </w:tr>
      <w:tr w:rsidR="00A42BF8" w:rsidRPr="00610A15" w14:paraId="0D066033" w14:textId="77777777" w:rsidTr="000425E6">
        <w:tc>
          <w:tcPr>
            <w:tcW w:w="1643" w:type="dxa"/>
            <w:vMerge/>
            <w:tcBorders>
              <w:top w:val="single" w:sz="4" w:space="0" w:color="auto"/>
              <w:left w:val="single" w:sz="4" w:space="0" w:color="auto"/>
              <w:bottom w:val="single" w:sz="4" w:space="0" w:color="auto"/>
              <w:right w:val="single" w:sz="4" w:space="0" w:color="auto"/>
            </w:tcBorders>
            <w:hideMark/>
          </w:tcPr>
          <w:p w14:paraId="04D1AC1F" w14:textId="77777777" w:rsidR="00A42BF8" w:rsidRPr="00610A15" w:rsidRDefault="00A42BF8" w:rsidP="000425E6">
            <w:pPr>
              <w:widowControl/>
              <w:tabs>
                <w:tab w:val="left" w:pos="0"/>
              </w:tabs>
              <w:autoSpaceDE/>
              <w:autoSpaceDN/>
              <w:adjustRightInd/>
              <w:rPr>
                <w:color w:val="000000" w:themeColor="text1"/>
                <w:sz w:val="24"/>
              </w:rPr>
            </w:pPr>
          </w:p>
        </w:tc>
        <w:tc>
          <w:tcPr>
            <w:tcW w:w="5536" w:type="dxa"/>
            <w:tcBorders>
              <w:top w:val="single" w:sz="4" w:space="0" w:color="auto"/>
              <w:left w:val="single" w:sz="4" w:space="0" w:color="auto"/>
              <w:bottom w:val="single" w:sz="4" w:space="0" w:color="auto"/>
              <w:right w:val="single" w:sz="4" w:space="0" w:color="auto"/>
            </w:tcBorders>
            <w:hideMark/>
          </w:tcPr>
          <w:p w14:paraId="7AC4DC87"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Pediatric Exam #2</w:t>
            </w:r>
          </w:p>
          <w:p w14:paraId="6D4D1AE1"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(ATI book chapters 12-14, 19-20, 26-31, and 37-38)</w:t>
            </w:r>
          </w:p>
        </w:tc>
        <w:tc>
          <w:tcPr>
            <w:tcW w:w="2271" w:type="dxa"/>
            <w:tcBorders>
              <w:top w:val="single" w:sz="4" w:space="0" w:color="auto"/>
              <w:left w:val="single" w:sz="4" w:space="0" w:color="auto"/>
              <w:bottom w:val="single" w:sz="4" w:space="0" w:color="auto"/>
              <w:right w:val="single" w:sz="4" w:space="0" w:color="auto"/>
            </w:tcBorders>
            <w:hideMark/>
          </w:tcPr>
          <w:p w14:paraId="420D230C"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20%</w:t>
            </w:r>
          </w:p>
        </w:tc>
      </w:tr>
      <w:tr w:rsidR="00A42BF8" w:rsidRPr="00610A15" w14:paraId="3456257A" w14:textId="77777777" w:rsidTr="000425E6">
        <w:tc>
          <w:tcPr>
            <w:tcW w:w="1643" w:type="dxa"/>
            <w:vMerge/>
            <w:tcBorders>
              <w:top w:val="single" w:sz="4" w:space="0" w:color="auto"/>
              <w:left w:val="single" w:sz="4" w:space="0" w:color="auto"/>
              <w:bottom w:val="single" w:sz="4" w:space="0" w:color="auto"/>
              <w:right w:val="single" w:sz="4" w:space="0" w:color="auto"/>
            </w:tcBorders>
            <w:hideMark/>
          </w:tcPr>
          <w:p w14:paraId="48A53A07" w14:textId="77777777" w:rsidR="00A42BF8" w:rsidRPr="00610A15" w:rsidRDefault="00A42BF8" w:rsidP="000425E6">
            <w:pPr>
              <w:widowControl/>
              <w:tabs>
                <w:tab w:val="left" w:pos="0"/>
              </w:tabs>
              <w:autoSpaceDE/>
              <w:autoSpaceDN/>
              <w:adjustRightInd/>
              <w:rPr>
                <w:color w:val="000000" w:themeColor="text1"/>
                <w:sz w:val="24"/>
              </w:rPr>
            </w:pPr>
          </w:p>
        </w:tc>
        <w:tc>
          <w:tcPr>
            <w:tcW w:w="5536" w:type="dxa"/>
            <w:tcBorders>
              <w:top w:val="single" w:sz="4" w:space="0" w:color="auto"/>
              <w:left w:val="single" w:sz="4" w:space="0" w:color="auto"/>
              <w:bottom w:val="single" w:sz="4" w:space="0" w:color="auto"/>
              <w:right w:val="single" w:sz="4" w:space="0" w:color="auto"/>
            </w:tcBorders>
            <w:hideMark/>
          </w:tcPr>
          <w:p w14:paraId="05AFEC8C"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Pediatric Exam #3</w:t>
            </w:r>
          </w:p>
          <w:p w14:paraId="49126DB5" w14:textId="77777777" w:rsidR="00A42BF8" w:rsidRPr="00610A15" w:rsidRDefault="00A42BF8" w:rsidP="000425E6">
            <w:pPr>
              <w:widowControl/>
              <w:tabs>
                <w:tab w:val="left" w:pos="0"/>
              </w:tabs>
              <w:autoSpaceDE/>
              <w:autoSpaceDN/>
              <w:adjustRightInd/>
              <w:rPr>
                <w:color w:val="000000" w:themeColor="text1"/>
                <w:sz w:val="24"/>
              </w:rPr>
            </w:pPr>
            <w:r>
              <w:rPr>
                <w:color w:val="000000" w:themeColor="text1"/>
                <w:sz w:val="24"/>
              </w:rPr>
              <w:t>(</w:t>
            </w:r>
            <w:r w:rsidRPr="00610A15">
              <w:rPr>
                <w:color w:val="000000" w:themeColor="text1"/>
                <w:sz w:val="24"/>
              </w:rPr>
              <w:t>ATI book chapters 9-11, 15-18, 21-25, 32-33, and 36</w:t>
            </w:r>
            <w:r>
              <w:rPr>
                <w:color w:val="000000" w:themeColor="text1"/>
                <w:sz w:val="24"/>
              </w:rPr>
              <w:t>)</w:t>
            </w:r>
          </w:p>
        </w:tc>
        <w:tc>
          <w:tcPr>
            <w:tcW w:w="2271" w:type="dxa"/>
            <w:tcBorders>
              <w:top w:val="single" w:sz="4" w:space="0" w:color="auto"/>
              <w:left w:val="single" w:sz="4" w:space="0" w:color="auto"/>
              <w:bottom w:val="single" w:sz="4" w:space="0" w:color="auto"/>
              <w:right w:val="single" w:sz="4" w:space="0" w:color="auto"/>
            </w:tcBorders>
            <w:hideMark/>
          </w:tcPr>
          <w:p w14:paraId="63079118"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20%</w:t>
            </w:r>
          </w:p>
        </w:tc>
      </w:tr>
      <w:tr w:rsidR="00A42BF8" w:rsidRPr="00610A15" w14:paraId="1692996A" w14:textId="77777777" w:rsidTr="000425E6">
        <w:trPr>
          <w:trHeight w:val="683"/>
        </w:trPr>
        <w:tc>
          <w:tcPr>
            <w:tcW w:w="1643" w:type="dxa"/>
            <w:tcBorders>
              <w:top w:val="single" w:sz="4" w:space="0" w:color="auto"/>
              <w:left w:val="single" w:sz="4" w:space="0" w:color="auto"/>
              <w:bottom w:val="single" w:sz="4" w:space="0" w:color="auto"/>
              <w:right w:val="single" w:sz="4" w:space="0" w:color="auto"/>
            </w:tcBorders>
          </w:tcPr>
          <w:p w14:paraId="67E89867" w14:textId="77777777" w:rsidR="00A42BF8" w:rsidRPr="00F94FED" w:rsidRDefault="00A42BF8" w:rsidP="000425E6">
            <w:pPr>
              <w:widowControl/>
              <w:tabs>
                <w:tab w:val="left" w:pos="0"/>
              </w:tabs>
              <w:autoSpaceDE/>
              <w:autoSpaceDN/>
              <w:adjustRightInd/>
              <w:rPr>
                <w:b/>
                <w:bCs/>
                <w:color w:val="000000" w:themeColor="text1"/>
                <w:sz w:val="24"/>
              </w:rPr>
            </w:pPr>
            <w:r w:rsidRPr="00F94FED">
              <w:rPr>
                <w:b/>
                <w:bCs/>
                <w:color w:val="000000" w:themeColor="text1"/>
                <w:sz w:val="24"/>
              </w:rPr>
              <w:t>Clinical Assignment</w:t>
            </w:r>
          </w:p>
        </w:tc>
        <w:tc>
          <w:tcPr>
            <w:tcW w:w="5536" w:type="dxa"/>
            <w:tcBorders>
              <w:top w:val="single" w:sz="4" w:space="0" w:color="auto"/>
              <w:left w:val="single" w:sz="4" w:space="0" w:color="auto"/>
              <w:bottom w:val="single" w:sz="4" w:space="0" w:color="auto"/>
              <w:right w:val="single" w:sz="4" w:space="0" w:color="auto"/>
            </w:tcBorders>
          </w:tcPr>
          <w:p w14:paraId="612B9483"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Concept Map – Mother/Baby</w:t>
            </w:r>
          </w:p>
          <w:p w14:paraId="5FED5169" w14:textId="77777777" w:rsidR="00A42BF8" w:rsidRPr="00E8721E" w:rsidRDefault="00A42BF8" w:rsidP="00A42BF8">
            <w:pPr>
              <w:pStyle w:val="ListParagraph"/>
              <w:widowControl/>
              <w:numPr>
                <w:ilvl w:val="0"/>
                <w:numId w:val="2"/>
              </w:numPr>
              <w:tabs>
                <w:tab w:val="left" w:pos="0"/>
              </w:tabs>
              <w:autoSpaceDE/>
              <w:autoSpaceDN/>
              <w:adjustRightInd/>
              <w:ind w:left="257" w:hanging="257"/>
              <w:rPr>
                <w:color w:val="000000" w:themeColor="text1"/>
                <w:sz w:val="24"/>
              </w:rPr>
            </w:pPr>
            <w:r w:rsidRPr="00E8721E">
              <w:rPr>
                <w:color w:val="000000" w:themeColor="text1"/>
                <w:sz w:val="24"/>
              </w:rPr>
              <w:t>Concept Map – Pediatrics</w:t>
            </w:r>
          </w:p>
        </w:tc>
        <w:tc>
          <w:tcPr>
            <w:tcW w:w="2271" w:type="dxa"/>
            <w:tcBorders>
              <w:top w:val="single" w:sz="4" w:space="0" w:color="auto"/>
              <w:left w:val="single" w:sz="4" w:space="0" w:color="auto"/>
              <w:bottom w:val="single" w:sz="4" w:space="0" w:color="auto"/>
              <w:right w:val="single" w:sz="4" w:space="0" w:color="auto"/>
            </w:tcBorders>
          </w:tcPr>
          <w:p w14:paraId="2E591199"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7.5%</w:t>
            </w:r>
          </w:p>
          <w:p w14:paraId="2A04D600"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7.5%</w:t>
            </w:r>
          </w:p>
        </w:tc>
      </w:tr>
      <w:tr w:rsidR="00A42BF8" w:rsidRPr="00610A15" w14:paraId="755EE6A3" w14:textId="77777777" w:rsidTr="000425E6">
        <w:trPr>
          <w:trHeight w:val="683"/>
        </w:trPr>
        <w:tc>
          <w:tcPr>
            <w:tcW w:w="1643" w:type="dxa"/>
            <w:tcBorders>
              <w:top w:val="single" w:sz="4" w:space="0" w:color="auto"/>
              <w:left w:val="single" w:sz="4" w:space="0" w:color="auto"/>
              <w:bottom w:val="single" w:sz="4" w:space="0" w:color="auto"/>
              <w:right w:val="single" w:sz="4" w:space="0" w:color="auto"/>
            </w:tcBorders>
          </w:tcPr>
          <w:p w14:paraId="11144211" w14:textId="77777777" w:rsidR="00A42BF8" w:rsidRPr="00F94FED" w:rsidRDefault="00A42BF8" w:rsidP="000425E6">
            <w:pPr>
              <w:widowControl/>
              <w:tabs>
                <w:tab w:val="left" w:pos="0"/>
              </w:tabs>
              <w:autoSpaceDE/>
              <w:autoSpaceDN/>
              <w:adjustRightInd/>
              <w:rPr>
                <w:b/>
                <w:bCs/>
                <w:color w:val="000000" w:themeColor="text1"/>
                <w:sz w:val="24"/>
              </w:rPr>
            </w:pPr>
            <w:r w:rsidRPr="00F94FED">
              <w:rPr>
                <w:b/>
                <w:bCs/>
                <w:color w:val="000000" w:themeColor="text1"/>
                <w:sz w:val="24"/>
              </w:rPr>
              <w:t>ATI Proctored Exams</w:t>
            </w:r>
          </w:p>
        </w:tc>
        <w:tc>
          <w:tcPr>
            <w:tcW w:w="5536" w:type="dxa"/>
            <w:tcBorders>
              <w:top w:val="single" w:sz="4" w:space="0" w:color="auto"/>
              <w:left w:val="single" w:sz="4" w:space="0" w:color="auto"/>
              <w:bottom w:val="single" w:sz="4" w:space="0" w:color="auto"/>
              <w:right w:val="single" w:sz="4" w:space="0" w:color="auto"/>
            </w:tcBorders>
          </w:tcPr>
          <w:p w14:paraId="51372F63" w14:textId="77777777" w:rsidR="00A42BF8" w:rsidRPr="00CB3063" w:rsidRDefault="00A42BF8" w:rsidP="00A42BF8">
            <w:pPr>
              <w:pStyle w:val="ListParagraph"/>
              <w:widowControl/>
              <w:numPr>
                <w:ilvl w:val="0"/>
                <w:numId w:val="3"/>
              </w:numPr>
              <w:tabs>
                <w:tab w:val="left" w:pos="0"/>
              </w:tabs>
              <w:autoSpaceDE/>
              <w:autoSpaceDN/>
              <w:adjustRightInd/>
              <w:ind w:left="257" w:hanging="270"/>
              <w:rPr>
                <w:color w:val="000000" w:themeColor="text1"/>
                <w:sz w:val="24"/>
              </w:rPr>
            </w:pPr>
            <w:r w:rsidRPr="00CB3063">
              <w:rPr>
                <w:color w:val="000000" w:themeColor="text1"/>
                <w:sz w:val="24"/>
              </w:rPr>
              <w:t>Maternity/Newborn</w:t>
            </w:r>
          </w:p>
          <w:p w14:paraId="4D21BF0F" w14:textId="77777777" w:rsidR="00A42BF8" w:rsidRPr="00CB3063" w:rsidRDefault="00A42BF8" w:rsidP="00A42BF8">
            <w:pPr>
              <w:pStyle w:val="ListParagraph"/>
              <w:widowControl/>
              <w:numPr>
                <w:ilvl w:val="0"/>
                <w:numId w:val="3"/>
              </w:numPr>
              <w:tabs>
                <w:tab w:val="left" w:pos="0"/>
              </w:tabs>
              <w:autoSpaceDE/>
              <w:autoSpaceDN/>
              <w:adjustRightInd/>
              <w:ind w:left="257" w:hanging="270"/>
              <w:rPr>
                <w:color w:val="000000" w:themeColor="text1"/>
                <w:sz w:val="24"/>
              </w:rPr>
            </w:pPr>
            <w:r w:rsidRPr="00CB3063">
              <w:rPr>
                <w:color w:val="000000" w:themeColor="text1"/>
                <w:sz w:val="24"/>
              </w:rPr>
              <w:t>Nursing Care of Children (Peds)</w:t>
            </w:r>
          </w:p>
        </w:tc>
        <w:tc>
          <w:tcPr>
            <w:tcW w:w="2271" w:type="dxa"/>
            <w:tcBorders>
              <w:top w:val="single" w:sz="4" w:space="0" w:color="auto"/>
              <w:left w:val="single" w:sz="4" w:space="0" w:color="auto"/>
              <w:bottom w:val="single" w:sz="4" w:space="0" w:color="auto"/>
              <w:right w:val="single" w:sz="4" w:space="0" w:color="auto"/>
            </w:tcBorders>
          </w:tcPr>
          <w:p w14:paraId="22AB70FA"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5%</w:t>
            </w:r>
          </w:p>
          <w:p w14:paraId="2619E816" w14:textId="77777777" w:rsidR="00A42BF8" w:rsidRDefault="00A42BF8" w:rsidP="000425E6">
            <w:pPr>
              <w:widowControl/>
              <w:tabs>
                <w:tab w:val="left" w:pos="0"/>
              </w:tabs>
              <w:autoSpaceDE/>
              <w:autoSpaceDN/>
              <w:adjustRightInd/>
              <w:rPr>
                <w:b/>
                <w:bCs/>
                <w:color w:val="000000" w:themeColor="text1"/>
                <w:sz w:val="24"/>
              </w:rPr>
            </w:pPr>
            <w:r w:rsidRPr="00610A15">
              <w:rPr>
                <w:color w:val="000000" w:themeColor="text1"/>
                <w:sz w:val="24"/>
                <w:u w:val="single"/>
              </w:rPr>
              <w:t>Level 3</w:t>
            </w:r>
            <w:r w:rsidRPr="00610A15">
              <w:rPr>
                <w:color w:val="000000" w:themeColor="text1"/>
                <w:sz w:val="24"/>
              </w:rPr>
              <w:t>-</w:t>
            </w:r>
            <w:r w:rsidRPr="00610A15">
              <w:rPr>
                <w:b/>
                <w:bCs/>
                <w:color w:val="000000" w:themeColor="text1"/>
                <w:sz w:val="24"/>
              </w:rPr>
              <w:t>95%</w:t>
            </w:r>
          </w:p>
          <w:p w14:paraId="4AE94F7C"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u w:val="single"/>
              </w:rPr>
              <w:t>Level 2</w:t>
            </w:r>
            <w:r w:rsidRPr="00610A15">
              <w:rPr>
                <w:color w:val="000000" w:themeColor="text1"/>
                <w:sz w:val="24"/>
              </w:rPr>
              <w:t>-</w:t>
            </w:r>
            <w:r w:rsidRPr="00610A15">
              <w:rPr>
                <w:b/>
                <w:bCs/>
                <w:color w:val="000000" w:themeColor="text1"/>
                <w:sz w:val="24"/>
              </w:rPr>
              <w:t>85%</w:t>
            </w:r>
          </w:p>
          <w:p w14:paraId="739B2A6D" w14:textId="77777777" w:rsidR="00A42BF8" w:rsidRDefault="00A42BF8" w:rsidP="000425E6">
            <w:pPr>
              <w:widowControl/>
              <w:tabs>
                <w:tab w:val="left" w:pos="0"/>
              </w:tabs>
              <w:autoSpaceDE/>
              <w:autoSpaceDN/>
              <w:adjustRightInd/>
              <w:rPr>
                <w:b/>
                <w:bCs/>
                <w:color w:val="000000" w:themeColor="text1"/>
                <w:sz w:val="24"/>
              </w:rPr>
            </w:pPr>
            <w:r w:rsidRPr="00610A15">
              <w:rPr>
                <w:color w:val="000000" w:themeColor="text1"/>
                <w:sz w:val="24"/>
                <w:u w:val="single"/>
              </w:rPr>
              <w:t>Level 1</w:t>
            </w:r>
            <w:r w:rsidRPr="00206C7A">
              <w:rPr>
                <w:color w:val="000000" w:themeColor="text1"/>
                <w:sz w:val="24"/>
              </w:rPr>
              <w:t>-</w:t>
            </w:r>
            <w:r w:rsidRPr="00610A15">
              <w:rPr>
                <w:b/>
                <w:bCs/>
                <w:color w:val="000000" w:themeColor="text1"/>
                <w:sz w:val="24"/>
              </w:rPr>
              <w:t>75%</w:t>
            </w:r>
          </w:p>
          <w:p w14:paraId="054268CE" w14:textId="77777777" w:rsidR="00A42BF8" w:rsidRDefault="00A42BF8" w:rsidP="000425E6">
            <w:pPr>
              <w:widowControl/>
              <w:tabs>
                <w:tab w:val="left" w:pos="0"/>
              </w:tabs>
              <w:autoSpaceDE/>
              <w:autoSpaceDN/>
              <w:adjustRightInd/>
              <w:rPr>
                <w:b/>
                <w:bCs/>
                <w:color w:val="000000" w:themeColor="text1"/>
                <w:sz w:val="24"/>
              </w:rPr>
            </w:pPr>
            <w:r w:rsidRPr="00610A15">
              <w:rPr>
                <w:color w:val="000000" w:themeColor="text1"/>
                <w:sz w:val="24"/>
                <w:u w:val="single"/>
              </w:rPr>
              <w:t>&lt;Level 1</w:t>
            </w:r>
            <w:r w:rsidRPr="00610A15">
              <w:rPr>
                <w:color w:val="000000" w:themeColor="text1"/>
                <w:sz w:val="24"/>
              </w:rPr>
              <w:t>-</w:t>
            </w:r>
            <w:r w:rsidRPr="00610A15">
              <w:rPr>
                <w:b/>
                <w:bCs/>
                <w:color w:val="000000" w:themeColor="text1"/>
                <w:sz w:val="24"/>
              </w:rPr>
              <w:t>70%</w:t>
            </w:r>
          </w:p>
          <w:p w14:paraId="22B78465" w14:textId="2B8A7AD4" w:rsidR="00A42BF8" w:rsidRPr="00610A15" w:rsidRDefault="00A42BF8" w:rsidP="000425E6">
            <w:pPr>
              <w:widowControl/>
              <w:tabs>
                <w:tab w:val="left" w:pos="0"/>
              </w:tabs>
              <w:autoSpaceDE/>
              <w:autoSpaceDN/>
              <w:adjustRightInd/>
              <w:rPr>
                <w:color w:val="000000" w:themeColor="text1"/>
                <w:sz w:val="24"/>
              </w:rPr>
            </w:pPr>
            <w:r w:rsidRPr="00A42BF8">
              <w:rPr>
                <w:b/>
                <w:color w:val="000000" w:themeColor="text1"/>
                <w:sz w:val="24"/>
                <w:highlight w:val="yellow"/>
              </w:rPr>
              <w:t>Did not complete NP exam – 60%</w:t>
            </w:r>
          </w:p>
        </w:tc>
      </w:tr>
      <w:tr w:rsidR="00A42BF8" w:rsidRPr="00610A15" w14:paraId="2C3B2CCE" w14:textId="77777777" w:rsidTr="000425E6">
        <w:trPr>
          <w:trHeight w:val="683"/>
        </w:trPr>
        <w:tc>
          <w:tcPr>
            <w:tcW w:w="1643" w:type="dxa"/>
            <w:tcBorders>
              <w:top w:val="single" w:sz="4" w:space="0" w:color="auto"/>
              <w:left w:val="single" w:sz="4" w:space="0" w:color="auto"/>
              <w:bottom w:val="single" w:sz="4" w:space="0" w:color="auto"/>
              <w:right w:val="single" w:sz="4" w:space="0" w:color="auto"/>
            </w:tcBorders>
            <w:hideMark/>
          </w:tcPr>
          <w:p w14:paraId="54C2F426" w14:textId="77777777" w:rsidR="00A42BF8" w:rsidRPr="00F94FED" w:rsidRDefault="00A42BF8" w:rsidP="000425E6">
            <w:pPr>
              <w:widowControl/>
              <w:tabs>
                <w:tab w:val="left" w:pos="0"/>
              </w:tabs>
              <w:autoSpaceDE/>
              <w:autoSpaceDN/>
              <w:adjustRightInd/>
              <w:rPr>
                <w:b/>
                <w:bCs/>
                <w:color w:val="000000" w:themeColor="text1"/>
                <w:sz w:val="24"/>
              </w:rPr>
            </w:pPr>
            <w:r w:rsidRPr="00F94FED">
              <w:rPr>
                <w:b/>
                <w:bCs/>
                <w:color w:val="000000" w:themeColor="text1"/>
                <w:sz w:val="24"/>
              </w:rPr>
              <w:t>Clinical Evaluation</w:t>
            </w:r>
          </w:p>
        </w:tc>
        <w:tc>
          <w:tcPr>
            <w:tcW w:w="5536" w:type="dxa"/>
            <w:tcBorders>
              <w:top w:val="single" w:sz="4" w:space="0" w:color="auto"/>
              <w:left w:val="single" w:sz="4" w:space="0" w:color="auto"/>
              <w:bottom w:val="single" w:sz="4" w:space="0" w:color="auto"/>
              <w:right w:val="single" w:sz="4" w:space="0" w:color="auto"/>
            </w:tcBorders>
            <w:hideMark/>
          </w:tcPr>
          <w:p w14:paraId="561D363D" w14:textId="77777777" w:rsidR="00A42BF8" w:rsidRPr="00CB3063" w:rsidRDefault="00A42BF8" w:rsidP="00A42BF8">
            <w:pPr>
              <w:pStyle w:val="ListParagraph"/>
              <w:widowControl/>
              <w:numPr>
                <w:ilvl w:val="0"/>
                <w:numId w:val="4"/>
              </w:numPr>
              <w:tabs>
                <w:tab w:val="left" w:pos="0"/>
              </w:tabs>
              <w:autoSpaceDE/>
              <w:autoSpaceDN/>
              <w:adjustRightInd/>
              <w:ind w:left="257" w:hanging="257"/>
              <w:rPr>
                <w:color w:val="000000" w:themeColor="text1"/>
                <w:sz w:val="24"/>
              </w:rPr>
            </w:pPr>
            <w:r w:rsidRPr="00CB3063">
              <w:rPr>
                <w:color w:val="000000" w:themeColor="text1"/>
                <w:sz w:val="24"/>
              </w:rPr>
              <w:t xml:space="preserve">Clinical Rotation </w:t>
            </w:r>
          </w:p>
        </w:tc>
        <w:tc>
          <w:tcPr>
            <w:tcW w:w="2271" w:type="dxa"/>
            <w:tcBorders>
              <w:top w:val="single" w:sz="4" w:space="0" w:color="auto"/>
              <w:left w:val="single" w:sz="4" w:space="0" w:color="auto"/>
              <w:bottom w:val="single" w:sz="4" w:space="0" w:color="auto"/>
              <w:right w:val="single" w:sz="4" w:space="0" w:color="auto"/>
            </w:tcBorders>
            <w:hideMark/>
          </w:tcPr>
          <w:p w14:paraId="39B6933C"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rPr>
              <w:t>Pass/Fall</w:t>
            </w:r>
          </w:p>
        </w:tc>
      </w:tr>
      <w:tr w:rsidR="00A42BF8" w:rsidRPr="00610A15" w14:paraId="5740ACD2" w14:textId="77777777" w:rsidTr="000425E6">
        <w:trPr>
          <w:trHeight w:val="359"/>
        </w:trPr>
        <w:tc>
          <w:tcPr>
            <w:tcW w:w="1643" w:type="dxa"/>
            <w:tcBorders>
              <w:top w:val="single" w:sz="4" w:space="0" w:color="auto"/>
              <w:left w:val="single" w:sz="4" w:space="0" w:color="auto"/>
              <w:bottom w:val="single" w:sz="4" w:space="0" w:color="auto"/>
              <w:right w:val="single" w:sz="4" w:space="0" w:color="auto"/>
            </w:tcBorders>
            <w:hideMark/>
          </w:tcPr>
          <w:p w14:paraId="7532A3AA" w14:textId="77777777" w:rsidR="00A42BF8" w:rsidRPr="00F94FED" w:rsidRDefault="00A42BF8" w:rsidP="000425E6">
            <w:pPr>
              <w:widowControl/>
              <w:tabs>
                <w:tab w:val="left" w:pos="0"/>
              </w:tabs>
              <w:autoSpaceDE/>
              <w:autoSpaceDN/>
              <w:adjustRightInd/>
              <w:rPr>
                <w:b/>
                <w:bCs/>
                <w:color w:val="000000" w:themeColor="text1"/>
                <w:sz w:val="24"/>
              </w:rPr>
            </w:pPr>
            <w:r w:rsidRPr="00F94FED">
              <w:rPr>
                <w:b/>
                <w:bCs/>
                <w:color w:val="000000" w:themeColor="text1"/>
                <w:sz w:val="24"/>
              </w:rPr>
              <w:t>Math</w:t>
            </w:r>
          </w:p>
        </w:tc>
        <w:tc>
          <w:tcPr>
            <w:tcW w:w="5536" w:type="dxa"/>
            <w:tcBorders>
              <w:top w:val="single" w:sz="4" w:space="0" w:color="auto"/>
              <w:left w:val="single" w:sz="4" w:space="0" w:color="auto"/>
              <w:bottom w:val="single" w:sz="4" w:space="0" w:color="auto"/>
              <w:right w:val="single" w:sz="4" w:space="0" w:color="auto"/>
            </w:tcBorders>
            <w:hideMark/>
          </w:tcPr>
          <w:p w14:paraId="32BD9FE1" w14:textId="77777777" w:rsidR="00A42BF8" w:rsidRPr="00CB3063" w:rsidRDefault="00A42BF8" w:rsidP="00A42BF8">
            <w:pPr>
              <w:pStyle w:val="ListParagraph"/>
              <w:widowControl/>
              <w:numPr>
                <w:ilvl w:val="0"/>
                <w:numId w:val="4"/>
              </w:numPr>
              <w:tabs>
                <w:tab w:val="left" w:pos="0"/>
              </w:tabs>
              <w:autoSpaceDE/>
              <w:autoSpaceDN/>
              <w:adjustRightInd/>
              <w:ind w:left="257" w:hanging="257"/>
              <w:rPr>
                <w:color w:val="000000" w:themeColor="text1"/>
                <w:sz w:val="24"/>
              </w:rPr>
            </w:pPr>
            <w:r w:rsidRPr="00CB3063">
              <w:rPr>
                <w:color w:val="000000" w:themeColor="text1"/>
                <w:sz w:val="24"/>
              </w:rPr>
              <w:t xml:space="preserve">3 Medication Math </w:t>
            </w:r>
            <w:r>
              <w:rPr>
                <w:color w:val="000000" w:themeColor="text1"/>
                <w:sz w:val="24"/>
              </w:rPr>
              <w:t>E</w:t>
            </w:r>
            <w:r w:rsidRPr="00CB3063">
              <w:rPr>
                <w:color w:val="000000" w:themeColor="text1"/>
                <w:sz w:val="24"/>
              </w:rPr>
              <w:t xml:space="preserve">xams </w:t>
            </w:r>
          </w:p>
        </w:tc>
        <w:tc>
          <w:tcPr>
            <w:tcW w:w="2271" w:type="dxa"/>
            <w:tcBorders>
              <w:top w:val="single" w:sz="4" w:space="0" w:color="auto"/>
              <w:left w:val="single" w:sz="4" w:space="0" w:color="auto"/>
              <w:bottom w:val="single" w:sz="4" w:space="0" w:color="auto"/>
              <w:right w:val="single" w:sz="4" w:space="0" w:color="auto"/>
            </w:tcBorders>
            <w:hideMark/>
          </w:tcPr>
          <w:p w14:paraId="2FAB3C9A" w14:textId="77777777" w:rsidR="00A42BF8" w:rsidRPr="00610A15" w:rsidRDefault="00A42BF8" w:rsidP="000425E6">
            <w:pPr>
              <w:widowControl/>
              <w:tabs>
                <w:tab w:val="left" w:pos="0"/>
              </w:tabs>
              <w:autoSpaceDE/>
              <w:autoSpaceDN/>
              <w:adjustRightInd/>
              <w:rPr>
                <w:color w:val="000000" w:themeColor="text1"/>
                <w:sz w:val="24"/>
              </w:rPr>
            </w:pPr>
            <w:r w:rsidRPr="00610A15">
              <w:rPr>
                <w:color w:val="000000" w:themeColor="text1"/>
                <w:sz w:val="24"/>
                <w:u w:val="single"/>
              </w:rPr>
              <w:t>&gt;</w:t>
            </w:r>
            <w:r w:rsidRPr="00610A15">
              <w:rPr>
                <w:color w:val="000000" w:themeColor="text1"/>
                <w:sz w:val="24"/>
              </w:rPr>
              <w:t>85% average (to pass)</w:t>
            </w:r>
          </w:p>
        </w:tc>
      </w:tr>
      <w:tr w:rsidR="00A42BF8" w:rsidRPr="00E8721E" w14:paraId="6DAEB172" w14:textId="77777777" w:rsidTr="000425E6">
        <w:trPr>
          <w:trHeight w:val="296"/>
        </w:trPr>
        <w:tc>
          <w:tcPr>
            <w:tcW w:w="7179" w:type="dxa"/>
            <w:gridSpan w:val="2"/>
            <w:tcBorders>
              <w:top w:val="single" w:sz="4" w:space="0" w:color="auto"/>
              <w:left w:val="single" w:sz="4" w:space="0" w:color="auto"/>
              <w:bottom w:val="single" w:sz="4" w:space="0" w:color="auto"/>
              <w:right w:val="single" w:sz="4" w:space="0" w:color="auto"/>
            </w:tcBorders>
            <w:shd w:val="clear" w:color="auto" w:fill="F2F2F2"/>
          </w:tcPr>
          <w:p w14:paraId="6732DC10" w14:textId="77777777" w:rsidR="00A42BF8" w:rsidRPr="00E8721E" w:rsidRDefault="00A42BF8" w:rsidP="000425E6">
            <w:pPr>
              <w:widowControl/>
              <w:tabs>
                <w:tab w:val="left" w:pos="0"/>
              </w:tabs>
              <w:autoSpaceDE/>
              <w:autoSpaceDN/>
              <w:adjustRightInd/>
              <w:rPr>
                <w:b/>
                <w:bCs/>
                <w:color w:val="000000" w:themeColor="text1"/>
                <w:sz w:val="24"/>
              </w:rPr>
            </w:pPr>
            <w:r w:rsidRPr="00E8721E">
              <w:rPr>
                <w:b/>
                <w:bCs/>
                <w:color w:val="000000" w:themeColor="text1"/>
                <w:sz w:val="24"/>
              </w:rPr>
              <w:t>GRADE TOTAL for NURSING 3</w:t>
            </w:r>
          </w:p>
        </w:tc>
        <w:tc>
          <w:tcPr>
            <w:tcW w:w="2271" w:type="dxa"/>
            <w:tcBorders>
              <w:top w:val="single" w:sz="4" w:space="0" w:color="auto"/>
              <w:left w:val="single" w:sz="4" w:space="0" w:color="auto"/>
              <w:bottom w:val="single" w:sz="4" w:space="0" w:color="auto"/>
              <w:right w:val="single" w:sz="4" w:space="0" w:color="auto"/>
            </w:tcBorders>
            <w:shd w:val="clear" w:color="auto" w:fill="F2F2F2"/>
          </w:tcPr>
          <w:p w14:paraId="2531419C" w14:textId="77777777" w:rsidR="00A42BF8" w:rsidRPr="00E8721E" w:rsidRDefault="00A42BF8" w:rsidP="000425E6">
            <w:pPr>
              <w:widowControl/>
              <w:tabs>
                <w:tab w:val="left" w:pos="0"/>
              </w:tabs>
              <w:autoSpaceDE/>
              <w:autoSpaceDN/>
              <w:adjustRightInd/>
              <w:rPr>
                <w:b/>
                <w:bCs/>
                <w:color w:val="000000" w:themeColor="text1"/>
                <w:sz w:val="24"/>
              </w:rPr>
            </w:pPr>
            <w:r w:rsidRPr="00E8721E">
              <w:rPr>
                <w:b/>
                <w:bCs/>
                <w:color w:val="000000" w:themeColor="text1"/>
                <w:sz w:val="24"/>
              </w:rPr>
              <w:t>100%</w:t>
            </w:r>
          </w:p>
        </w:tc>
      </w:tr>
    </w:tbl>
    <w:p w14:paraId="61DA4FF5" w14:textId="77777777" w:rsidR="00A42BF8" w:rsidRPr="00610A15" w:rsidRDefault="00A42BF8" w:rsidP="00A42BF8">
      <w:pPr>
        <w:tabs>
          <w:tab w:val="left" w:pos="0"/>
        </w:tabs>
        <w:rPr>
          <w:b/>
          <w:color w:val="000000" w:themeColor="text1"/>
          <w:sz w:val="24"/>
        </w:rPr>
      </w:pPr>
    </w:p>
    <w:p w14:paraId="79365D8F" w14:textId="77777777" w:rsidR="00A42BF8" w:rsidRPr="00610A15" w:rsidRDefault="00A42BF8" w:rsidP="00A42BF8">
      <w:pPr>
        <w:pStyle w:val="BodyText"/>
        <w:tabs>
          <w:tab w:val="left" w:pos="0"/>
        </w:tabs>
        <w:ind w:left="720"/>
        <w:jc w:val="left"/>
        <w:rPr>
          <w:bCs/>
          <w:iCs/>
          <w:color w:val="000000" w:themeColor="text1"/>
        </w:rPr>
      </w:pPr>
    </w:p>
    <w:p w14:paraId="6FAE32FD" w14:textId="77777777" w:rsidR="00A42BF8" w:rsidRPr="00610A15" w:rsidRDefault="00A42BF8" w:rsidP="00A42BF8">
      <w:pPr>
        <w:pStyle w:val="BodyText"/>
        <w:tabs>
          <w:tab w:val="left" w:pos="0"/>
        </w:tabs>
        <w:jc w:val="left"/>
        <w:rPr>
          <w:bCs/>
          <w:iCs/>
          <w:color w:val="000000" w:themeColor="text1"/>
        </w:rPr>
      </w:pPr>
    </w:p>
    <w:p w14:paraId="6CF7A342" w14:textId="77777777" w:rsidR="00445DA9" w:rsidRDefault="00445DA9"/>
    <w:sectPr w:rsidR="0044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6CF7"/>
    <w:multiLevelType w:val="hybridMultilevel"/>
    <w:tmpl w:val="4812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222125"/>
    <w:multiLevelType w:val="hybridMultilevel"/>
    <w:tmpl w:val="409E5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D7DA4"/>
    <w:multiLevelType w:val="hybridMultilevel"/>
    <w:tmpl w:val="ADF8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E7D58"/>
    <w:multiLevelType w:val="hybridMultilevel"/>
    <w:tmpl w:val="8DC64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6114978">
    <w:abstractNumId w:val="1"/>
  </w:num>
  <w:num w:numId="2" w16cid:durableId="1283151993">
    <w:abstractNumId w:val="3"/>
  </w:num>
  <w:num w:numId="3" w16cid:durableId="754743382">
    <w:abstractNumId w:val="2"/>
  </w:num>
  <w:num w:numId="4" w16cid:durableId="148022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F8"/>
    <w:rsid w:val="002C6F8B"/>
    <w:rsid w:val="00445DA9"/>
    <w:rsid w:val="00A42BF8"/>
    <w:rsid w:val="00BC285A"/>
    <w:rsid w:val="00C2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F4F1"/>
  <w15:chartTrackingRefBased/>
  <w15:docId w15:val="{B636946E-0557-4D09-B247-13447E3A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F8"/>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A42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42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B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B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B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B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BF8"/>
    <w:rPr>
      <w:rFonts w:eastAsiaTheme="majorEastAsia" w:cstheme="majorBidi"/>
      <w:color w:val="272727" w:themeColor="text1" w:themeTint="D8"/>
    </w:rPr>
  </w:style>
  <w:style w:type="paragraph" w:styleId="Title">
    <w:name w:val="Title"/>
    <w:basedOn w:val="Normal"/>
    <w:next w:val="Normal"/>
    <w:link w:val="TitleChar"/>
    <w:uiPriority w:val="10"/>
    <w:qFormat/>
    <w:rsid w:val="00A42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BF8"/>
    <w:pPr>
      <w:spacing w:before="160"/>
      <w:jc w:val="center"/>
    </w:pPr>
    <w:rPr>
      <w:i/>
      <w:iCs/>
      <w:color w:val="404040" w:themeColor="text1" w:themeTint="BF"/>
    </w:rPr>
  </w:style>
  <w:style w:type="character" w:customStyle="1" w:styleId="QuoteChar">
    <w:name w:val="Quote Char"/>
    <w:basedOn w:val="DefaultParagraphFont"/>
    <w:link w:val="Quote"/>
    <w:uiPriority w:val="29"/>
    <w:rsid w:val="00A42BF8"/>
    <w:rPr>
      <w:i/>
      <w:iCs/>
      <w:color w:val="404040" w:themeColor="text1" w:themeTint="BF"/>
    </w:rPr>
  </w:style>
  <w:style w:type="paragraph" w:styleId="ListParagraph">
    <w:name w:val="List Paragraph"/>
    <w:basedOn w:val="Normal"/>
    <w:uiPriority w:val="1"/>
    <w:qFormat/>
    <w:rsid w:val="00A42BF8"/>
    <w:pPr>
      <w:ind w:left="720"/>
      <w:contextualSpacing/>
    </w:pPr>
  </w:style>
  <w:style w:type="character" w:styleId="IntenseEmphasis">
    <w:name w:val="Intense Emphasis"/>
    <w:basedOn w:val="DefaultParagraphFont"/>
    <w:uiPriority w:val="21"/>
    <w:qFormat/>
    <w:rsid w:val="00A42BF8"/>
    <w:rPr>
      <w:i/>
      <w:iCs/>
      <w:color w:val="0F4761" w:themeColor="accent1" w:themeShade="BF"/>
    </w:rPr>
  </w:style>
  <w:style w:type="paragraph" w:styleId="IntenseQuote">
    <w:name w:val="Intense Quote"/>
    <w:basedOn w:val="Normal"/>
    <w:next w:val="Normal"/>
    <w:link w:val="IntenseQuoteChar"/>
    <w:uiPriority w:val="30"/>
    <w:qFormat/>
    <w:rsid w:val="00A42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BF8"/>
    <w:rPr>
      <w:i/>
      <w:iCs/>
      <w:color w:val="0F4761" w:themeColor="accent1" w:themeShade="BF"/>
    </w:rPr>
  </w:style>
  <w:style w:type="character" w:styleId="IntenseReference">
    <w:name w:val="Intense Reference"/>
    <w:basedOn w:val="DefaultParagraphFont"/>
    <w:uiPriority w:val="32"/>
    <w:qFormat/>
    <w:rsid w:val="00A42BF8"/>
    <w:rPr>
      <w:b/>
      <w:bCs/>
      <w:smallCaps/>
      <w:color w:val="0F4761" w:themeColor="accent1" w:themeShade="BF"/>
      <w:spacing w:val="5"/>
    </w:rPr>
  </w:style>
  <w:style w:type="paragraph" w:styleId="BodyText">
    <w:name w:val="Body Text"/>
    <w:basedOn w:val="Normal"/>
    <w:link w:val="BodyTextChar"/>
    <w:rsid w:val="00A42BF8"/>
    <w:pPr>
      <w:widowControl/>
      <w:autoSpaceDE/>
      <w:autoSpaceDN/>
      <w:adjustRightInd/>
      <w:jc w:val="both"/>
    </w:pPr>
    <w:rPr>
      <w:sz w:val="24"/>
    </w:rPr>
  </w:style>
  <w:style w:type="character" w:customStyle="1" w:styleId="BodyTextChar">
    <w:name w:val="Body Text Char"/>
    <w:basedOn w:val="DefaultParagraphFont"/>
    <w:link w:val="BodyText"/>
    <w:rsid w:val="00A42BF8"/>
    <w:rPr>
      <w:rFonts w:ascii="Times New Roman" w:eastAsia="Times New Roman" w:hAnsi="Times New Roman" w:cs="Times New Roman"/>
      <w:kern w:val="0"/>
      <w:sz w:val="24"/>
      <w:szCs w:val="24"/>
      <w14:ligatures w14:val="none"/>
    </w:rPr>
  </w:style>
  <w:style w:type="paragraph" w:styleId="NoSpacing">
    <w:name w:val="No Spacing"/>
    <w:uiPriority w:val="1"/>
    <w:qFormat/>
    <w:rsid w:val="00A42BF8"/>
    <w:pPr>
      <w:spacing w:after="0" w:line="240" w:lineRule="auto"/>
    </w:pPr>
    <w:rPr>
      <w:kern w:val="0"/>
      <w14:ligatures w14:val="none"/>
    </w:rPr>
  </w:style>
  <w:style w:type="table" w:customStyle="1" w:styleId="TableGrid2">
    <w:name w:val="Table Grid2"/>
    <w:basedOn w:val="TableNormal"/>
    <w:next w:val="TableGrid"/>
    <w:uiPriority w:val="39"/>
    <w:rsid w:val="00A42BF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Molczan, Kenneth</dc:creator>
  <cp:keywords/>
  <dc:description/>
  <cp:lastModifiedBy>Molczan, Kenneth</cp:lastModifiedBy>
  <cp:revision>2</cp:revision>
  <dcterms:created xsi:type="dcterms:W3CDTF">2025-01-27T19:43:00Z</dcterms:created>
  <dcterms:modified xsi:type="dcterms:W3CDTF">2025-01-28T18:32:00Z</dcterms:modified>
</cp:coreProperties>
</file>